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B98" w:rsidRPr="009E7BD5" w:rsidRDefault="00EA1B98" w:rsidP="00D53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(фармацевтичних) навчальних закладів І</w:t>
      </w:r>
      <w:r w:rsidR="0030667D" w:rsidRPr="009E7BD5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30667D" w:rsidRPr="009E7BD5"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рівнів акредитації.</w:t>
      </w:r>
    </w:p>
    <w:p w:rsidR="00EA1B98" w:rsidRPr="009E7BD5" w:rsidRDefault="00EA1B98" w:rsidP="001728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BD3" w:rsidRPr="009E7BD5" w:rsidRDefault="005624FA" w:rsidP="00B611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Медсестринство  стоматології [Текст]: навч. посіб./ І.П.Мазур, Л.О. Щербак, С.В. Хлєбас та ін.; за ред. І.П. Мазур. – К.: ВСВ «Медицина», 2017. – 160 с.</w:t>
      </w:r>
    </w:p>
    <w:p w:rsidR="00243BD3" w:rsidRPr="009E7BD5" w:rsidRDefault="00243BD3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3BD3" w:rsidRPr="009E7BD5" w:rsidRDefault="00B61137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19685</wp:posOffset>
            </wp:positionV>
            <wp:extent cx="1608455" cy="2202180"/>
            <wp:effectExtent l="0" t="0" r="0" b="0"/>
            <wp:wrapThrough wrapText="bothSides">
              <wp:wrapPolygon edited="0">
                <wp:start x="0" y="0"/>
                <wp:lineTo x="0" y="21488"/>
                <wp:lineTo x="21233" y="21488"/>
                <wp:lineTo x="21233" y="0"/>
                <wp:lineTo x="0" y="0"/>
              </wp:wrapPolygon>
            </wp:wrapThrough>
            <wp:docPr id="52" name="Рисунок 5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BD3" w:rsidRPr="009E7BD5">
        <w:rPr>
          <w:rFonts w:ascii="Times New Roman" w:hAnsi="Times New Roman" w:cs="Times New Roman"/>
          <w:sz w:val="28"/>
          <w:szCs w:val="28"/>
          <w:lang w:val="uk-UA"/>
        </w:rPr>
        <w:t>У посібнику висвітлено основні питання зі стоматології, діагностику, методи лікування та профілактику основних стоматологічних захворювань. Приділено значну увагу інфекційному контролю в закладах охорони здоров'я стоматологічного профілю. Представлено основні завдання медичної сестри в стоматологічних кабінетах різного профілю.</w:t>
      </w:r>
    </w:p>
    <w:p w:rsidR="00243BD3" w:rsidRPr="009E7BD5" w:rsidRDefault="00243BD3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Для молодших спеціалістів з медичною освітою за фахом «Стоматологія» </w:t>
      </w:r>
      <w:r w:rsidR="00A06F69" w:rsidRPr="009E7BD5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медичних сестер зі стоматології, помічників лікаря-стоматолога, зубних лікарів і зубних гігієністів.</w:t>
      </w:r>
    </w:p>
    <w:p w:rsidR="00074CCC" w:rsidRPr="009E7BD5" w:rsidRDefault="00074CCC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2B7" w:rsidRPr="009E7BD5" w:rsidRDefault="00D532B7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4CCC" w:rsidRPr="009E7BD5" w:rsidRDefault="00074CCC" w:rsidP="00243B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Стоматологічні захворювання: терапевтична стоматологія</w:t>
      </w:r>
      <w:r w:rsidR="006B4F9A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 для мед. ВНЗ І-ІІІ р.а. Затверджено МОЗ / А.В. Борисенко, М.Ю. Антоненко, Л.В. Линовицька та ін.; за ред. проф. А.В. Борисенка. – К.: ВСВ «Медицина», 2017. – 664 с.</w:t>
      </w:r>
    </w:p>
    <w:p w:rsidR="00CA5B19" w:rsidRPr="009E7BD5" w:rsidRDefault="00A06F69" w:rsidP="00A06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54610</wp:posOffset>
            </wp:positionV>
            <wp:extent cx="1666875" cy="2278380"/>
            <wp:effectExtent l="19050" t="19050" r="9525" b="7620"/>
            <wp:wrapThrough wrapText="bothSides">
              <wp:wrapPolygon edited="0">
                <wp:start x="-247" y="-181"/>
                <wp:lineTo x="-247" y="21672"/>
                <wp:lineTo x="21723" y="21672"/>
                <wp:lineTo x="21723" y="-181"/>
                <wp:lineTo x="-247" y="-181"/>
              </wp:wrapPolygon>
            </wp:wrapThrough>
            <wp:docPr id="67" name="Рисунок 43" descr="C:\Users\Admin\Desktop\img517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17_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7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B4797" w:rsidRPr="009E7BD5" w:rsidRDefault="007B4797" w:rsidP="007B4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У підручнику висвітлено історію терапевтичної стоматології, розглянуто питання анатомічної, гістологічної будови зубів та слизової оболонки ротової порожнини, наведено дані про матеріали для пломбування каріозних порожнин і кореневих каналів; методи препарування та пломбування каріозних порожнин і кореневих каналів. Висвітлено основні методики обстеження хворого з ураженням твердих тканин зубів: карієсом і його ускладненнями. </w:t>
      </w:r>
    </w:p>
    <w:p w:rsidR="007B4797" w:rsidRPr="009E7BD5" w:rsidRDefault="007B4797" w:rsidP="007B4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студентів вищих медичних навчальних закладів I</w:t>
      </w:r>
      <w:r w:rsidR="004A4364" w:rsidRPr="009E7BD5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III рівнів акредитації.</w:t>
      </w:r>
    </w:p>
    <w:p w:rsidR="00074CCC" w:rsidRPr="009E7BD5" w:rsidRDefault="00074CCC" w:rsidP="00A47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4797" w:rsidRPr="009E7BD5" w:rsidRDefault="007B4797" w:rsidP="00A47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823" w:rsidRPr="009E7BD5" w:rsidRDefault="00A47E3D" w:rsidP="00A47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Травматологія та ортопедія</w:t>
      </w:r>
      <w:r w:rsidR="008E5D7F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 для студ. вищих мед. навч. закладів/ Г.Г. Голки, О.А. Бурянова, В.Г. Климовицького. – Винниця: Нова книга, 2014. – 416 с.: іл.</w:t>
      </w:r>
    </w:p>
    <w:p w:rsidR="00B2366D" w:rsidRPr="009E7BD5" w:rsidRDefault="00B2366D" w:rsidP="00A47E3D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794806" w:rsidRPr="009E7BD5" w:rsidRDefault="00794806" w:rsidP="00A47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E3D" w:rsidRPr="009E7BD5" w:rsidRDefault="00B61137" w:rsidP="00A47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30480</wp:posOffset>
            </wp:positionV>
            <wp:extent cx="1608455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233" y="21506"/>
                <wp:lineTo x="21233" y="0"/>
                <wp:lineTo x="0" y="0"/>
              </wp:wrapPolygon>
            </wp:wrapThrough>
            <wp:docPr id="49" name="Рисунок 49" descr="C:\Users\Admin\Desktop\407a20bc437f6d975f69a6feb4ba9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407a20bc437f6d975f69a6feb4ba93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E3D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У національному підручнику висвітлено сучасні погляди на етіологію, механізми розвитку, принципи діагностики та лікування травм і захворювань апарату руху та опори. Представлено сучасний погляд на патогенез травматичної хвороби, регенерацію кісткової тканини, поширені ускладнення, методи їх попередження та лікування. </w:t>
      </w:r>
    </w:p>
    <w:p w:rsidR="00971823" w:rsidRPr="009E7BD5" w:rsidRDefault="00A47E3D" w:rsidP="00CA5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Видання розраховане на студентів вищих медичних навчальних закладів, інтернів, клінічних ординаторів, лікарів із спортивної медицини, лікарів травматологів-ортопедів та фахі</w:t>
      </w:r>
      <w:r w:rsidR="00CA5B19" w:rsidRPr="009E7BD5">
        <w:rPr>
          <w:rFonts w:ascii="Times New Roman" w:hAnsi="Times New Roman" w:cs="Times New Roman"/>
          <w:sz w:val="28"/>
          <w:szCs w:val="28"/>
          <w:lang w:val="uk-UA"/>
        </w:rPr>
        <w:t>вців хірургічних спеціальностей.</w:t>
      </w:r>
    </w:p>
    <w:p w:rsidR="00D532B7" w:rsidRPr="009E7BD5" w:rsidRDefault="00D532B7" w:rsidP="00CA5B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32B7" w:rsidRPr="009E7BD5" w:rsidRDefault="008E5D7F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Якобчук, А.В. Основи медичної валеології [Текст]: навч. посіб/ А.В. Якобчук . – К.: Видавництво Ліра-К, 2017. – 244 с.</w:t>
      </w:r>
    </w:p>
    <w:p w:rsidR="00B61137" w:rsidRPr="009E7BD5" w:rsidRDefault="00B61137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146685</wp:posOffset>
            </wp:positionV>
            <wp:extent cx="1666875" cy="2374265"/>
            <wp:effectExtent l="0" t="0" r="0" b="0"/>
            <wp:wrapThrough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hrough>
            <wp:docPr id="50" name="Рисунок 50" descr="C:\Users\Admin\Desktop\img94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949_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715" w:rsidRPr="009E7BD5" w:rsidRDefault="008E5D7F" w:rsidP="001B4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посібник підготовлено у вигляді як основного, так і додаткового матеріалу з метою самостійного отримання та поглиблення знань у даній галузі охорони здоров’я. </w:t>
      </w:r>
    </w:p>
    <w:p w:rsidR="00954715" w:rsidRPr="009E7BD5" w:rsidRDefault="008E5D7F" w:rsidP="001B4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Розкриті основні принципи валеологічних знань з поглибленим поданням основних складових здоров’я і факторів, що його формують. </w:t>
      </w:r>
    </w:p>
    <w:p w:rsidR="008E5D7F" w:rsidRPr="009E7BD5" w:rsidRDefault="008E5D7F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Посібник призначений для викладачів, студентів вищих навчальних закладів, може становити інтерес науковцям, інтернам, а також буде корисним широкому колу читачів.</w:t>
      </w:r>
    </w:p>
    <w:p w:rsidR="00794806" w:rsidRPr="009E7BD5" w:rsidRDefault="00794806" w:rsidP="00171A98">
      <w:pPr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A57D06" w:rsidRPr="009E7BD5" w:rsidRDefault="00A57D06" w:rsidP="007948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9E7BD5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Суспільні науки в цілому</w:t>
      </w:r>
    </w:p>
    <w:p w:rsidR="00B61137" w:rsidRPr="009E7BD5" w:rsidRDefault="00B61137" w:rsidP="00171A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7D06" w:rsidRPr="009E7BD5" w:rsidRDefault="006E32A2" w:rsidP="00A57D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Литвин, А.П. Соціологія</w:t>
      </w:r>
      <w:r w:rsidR="00A96202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посібник. – Львів: Новий Світ/ А.П. Литвин, М.К. Кубаєвський, С.В. Лук’яненко. – 2000, 2017. – 332 с.</w:t>
      </w:r>
    </w:p>
    <w:p w:rsidR="0063628F" w:rsidRPr="009E7BD5" w:rsidRDefault="00171A98" w:rsidP="00A57D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78740</wp:posOffset>
            </wp:positionV>
            <wp:extent cx="1733550" cy="2368550"/>
            <wp:effectExtent l="0" t="0" r="0" b="0"/>
            <wp:wrapThrough wrapText="bothSides">
              <wp:wrapPolygon edited="0">
                <wp:start x="0" y="0"/>
                <wp:lineTo x="0" y="21368"/>
                <wp:lineTo x="21363" y="21368"/>
                <wp:lineTo x="21363" y="0"/>
                <wp:lineTo x="0" y="0"/>
              </wp:wrapPolygon>
            </wp:wrapThrough>
            <wp:docPr id="71" name="Рисунок 71" descr="F:\Users\Админ\Desktop\Оксана. Книги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Админ\Desktop\Оксана. Книги\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2A2" w:rsidRPr="009E7BD5" w:rsidRDefault="006E32A2" w:rsidP="00845D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навчальному посібнику розкрито основні теми, проаналізовано закономірності соціальних процесів</w:t>
      </w:r>
      <w:r w:rsidR="00845D21" w:rsidRPr="009E7BD5">
        <w:rPr>
          <w:rFonts w:ascii="Times New Roman" w:hAnsi="Times New Roman" w:cs="Times New Roman"/>
          <w:sz w:val="28"/>
          <w:szCs w:val="28"/>
          <w:lang w:val="uk-UA"/>
        </w:rPr>
        <w:t>, висвітлено актуальні  проблеми теорії та історії соціології, визначена сутність соціологічної науки, її об’єкт, предмет, структура і функції, а також роз’яснена методологія та технологія соціологічних досліджень.</w:t>
      </w:r>
    </w:p>
    <w:p w:rsidR="001B444D" w:rsidRPr="009E7BD5" w:rsidRDefault="00845D21" w:rsidP="00794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Рекомендовано для студентів ВНЗ всіх форм навчання, викладачів, які вивчають і викладають дисципліну «Соціологія»</w:t>
      </w:r>
      <w:r w:rsidR="001B444D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444D" w:rsidRPr="009E7BD5" w:rsidRDefault="001B444D" w:rsidP="0084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Щурик, М.В. Статистика</w:t>
      </w:r>
      <w:r w:rsidR="006B4F9A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посіб.– 2-ге вид., оновлене і доп./ М.В. Щурик. – Львів: Магнолія-2006, 2017. – 545 с.</w:t>
      </w:r>
    </w:p>
    <w:p w:rsidR="00A57D06" w:rsidRPr="009E7BD5" w:rsidRDefault="00B61137" w:rsidP="001B44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178435</wp:posOffset>
            </wp:positionV>
            <wp:extent cx="170751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47" y="21427"/>
                <wp:lineTo x="21447" y="0"/>
                <wp:lineTo x="0" y="0"/>
              </wp:wrapPolygon>
            </wp:wrapThrough>
            <wp:docPr id="51" name="Рисунок 51" descr="C:\Users\Admin\Desktop\2017_shurik_stati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_shurik_statisti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137" w:rsidRPr="009E7BD5" w:rsidRDefault="001B444D" w:rsidP="00B6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Навчальний посібник підготовлено відповідно до вимог освітньо-кваліфікаційної програми дисципліни «Статистика». У ньому висвітлені теоретичні, методологічні і методичні засади теорії статистики, що використовуються під час досліджень явищ і процесів суспільного життя з урахуванням вимог міжнародних стандартів статистики та обліку.</w:t>
      </w:r>
    </w:p>
    <w:p w:rsidR="00F869DE" w:rsidRPr="009E7BD5" w:rsidRDefault="001B444D" w:rsidP="00B6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студентів та викладачів екон. спеціальностей ВНЗ усіх рівнів акредитації, слухачів інститутів і факультетів післядипломної освіти, підприємців, менеджерів, економістів.</w:t>
      </w:r>
    </w:p>
    <w:p w:rsidR="001B444D" w:rsidRPr="009E7BD5" w:rsidRDefault="001B444D" w:rsidP="004B46A2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C45312" w:rsidRPr="009E7BD5" w:rsidRDefault="004B46A2" w:rsidP="00A57D0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9E7BD5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Економіка. </w:t>
      </w:r>
      <w:r w:rsidR="00C45312" w:rsidRPr="009E7BD5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Економічні науки</w:t>
      </w:r>
    </w:p>
    <w:p w:rsidR="007A2DFD" w:rsidRPr="009E7BD5" w:rsidRDefault="007A2DFD" w:rsidP="004B4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2DFD" w:rsidRPr="009E7BD5" w:rsidRDefault="007A2DFD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Артим-Дрогомирецька, М.В. Економічний ризик [Текст]: навч.-мет. посібник/ М.В. Артим-Дрогомирецька, М.В. Негрей. – Львів: Магнолія 2006, 2017. – 320 с.</w:t>
      </w:r>
    </w:p>
    <w:p w:rsidR="007A2DFD" w:rsidRPr="009E7BD5" w:rsidRDefault="007A2DFD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8B4" w:rsidRPr="009E7BD5" w:rsidRDefault="00ED38B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8B4" w:rsidRPr="009E7BD5" w:rsidRDefault="00B61137" w:rsidP="00147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50800</wp:posOffset>
            </wp:positionV>
            <wp:extent cx="1704975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479" y="21511"/>
                <wp:lineTo x="21479" y="0"/>
                <wp:lineTo x="0" y="0"/>
              </wp:wrapPolygon>
            </wp:wrapThrough>
            <wp:docPr id="29" name="Рисунок 29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8B4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У посібнику розглянуто методологічні та методичні підходи до кількісної оцінки, системного аналізу та управління економічним ризиком. Викладено суть невизначеності та ризику, наведено методи кількісної та якісної оцінки економічних систем в умовах ризику. Висвітлено основи теорії корисності та її застосування в процесі прийняття рішень. </w:t>
      </w:r>
    </w:p>
    <w:p w:rsidR="00ED38B4" w:rsidRPr="009E7BD5" w:rsidRDefault="00ED38B4" w:rsidP="00ED3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Для студентів, аспірантів та викладачів економічних спеціальностей </w:t>
      </w:r>
      <w:r w:rsidR="00954715" w:rsidRPr="009E7BD5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, а також для спеціалістів, які вивчають та використовують економіко-математичні методи в управлінні економічними ризиками.</w:t>
      </w:r>
    </w:p>
    <w:p w:rsidR="00ED38B4" w:rsidRPr="009E7BD5" w:rsidRDefault="00ED38B4" w:rsidP="004B4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617D" w:rsidRPr="009E7BD5" w:rsidRDefault="0038222E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Архіпов</w:t>
      </w:r>
      <w:r w:rsidR="0048617D" w:rsidRPr="009E7BD5">
        <w:rPr>
          <w:rFonts w:ascii="Times New Roman" w:hAnsi="Times New Roman" w:cs="Times New Roman"/>
          <w:b/>
          <w:sz w:val="28"/>
          <w:szCs w:val="28"/>
          <w:lang w:val="uk-UA"/>
        </w:rPr>
        <w:t>, В.В. Ресторанна справа: Асортимент, технологія і управління якістюпродукції в сучасному ресторані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="0048617D"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посіб.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/ В.В. Архіпов</w:t>
      </w:r>
      <w:r w:rsidR="00CE2E14" w:rsidRPr="009E7BD5">
        <w:rPr>
          <w:rFonts w:ascii="Times New Roman" w:hAnsi="Times New Roman" w:cs="Times New Roman"/>
          <w:b/>
          <w:sz w:val="28"/>
          <w:szCs w:val="28"/>
          <w:lang w:val="uk-UA"/>
        </w:rPr>
        <w:t>. – Центр учбової літератури, 2017. – 382 с.</w:t>
      </w:r>
    </w:p>
    <w:p w:rsidR="00CE2E14" w:rsidRPr="009E7BD5" w:rsidRDefault="00CE2E1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28E7" w:rsidRPr="009E7BD5" w:rsidRDefault="00FA28E7" w:rsidP="00CE2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28E7" w:rsidRPr="009E7BD5" w:rsidRDefault="00FA28E7" w:rsidP="00CE2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28E7" w:rsidRPr="009E7BD5" w:rsidRDefault="00FA28E7" w:rsidP="00CE2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2E14" w:rsidRPr="009E7BD5" w:rsidRDefault="00FA28E7" w:rsidP="00CE2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1647825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75" y="21398"/>
                <wp:lineTo x="21475" y="0"/>
                <wp:lineTo x="0" y="0"/>
              </wp:wrapPolygon>
            </wp:wrapThrough>
            <wp:docPr id="23" name="Рисунок 23" descr="C:\Users\Admin\Desktop\restoranna-sprava-asortiment-tehnolog-ya-upravl-nnya-yak-styu-produkts-yi-v-suchasnomu-restora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estoranna-sprava-asortiment-tehnolog-ya-upravl-nnya-yak-styu-produkts-yi-v-suchasnomu-restoran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E14" w:rsidRPr="009E7BD5">
        <w:rPr>
          <w:rFonts w:ascii="Times New Roman" w:hAnsi="Times New Roman" w:cs="Times New Roman"/>
          <w:sz w:val="28"/>
          <w:szCs w:val="28"/>
          <w:lang w:val="uk-UA"/>
        </w:rPr>
        <w:t>У навчальному посібнику подані характеристика продукції ресторанного господарства, вимоги до якості й безпеки сировини й готової продукції, особливості приготування ресторанної продукції, товарознавча характеристика продуктів харчування, питання керування якістю. Для студентів, що навчаються за спеціальністю «Менеджер готельно-ресторанного бізнесу», а також керівників і фахівців, що працюють у ресторанах, кафе, готельних комплексах, учнів профільних коледжів та училищ.</w:t>
      </w:r>
    </w:p>
    <w:p w:rsidR="00CE2E14" w:rsidRPr="009E7BD5" w:rsidRDefault="00CE2E14" w:rsidP="00CE2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617D" w:rsidRPr="009E7BD5" w:rsidRDefault="0087657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Бернарчук, М.С. </w:t>
      </w:r>
      <w:r w:rsidR="00D80D50" w:rsidRPr="009E7BD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оварознавство. Непродовольчі товари: меблі</w:t>
      </w:r>
      <w:r w:rsidR="004B46A2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[Текст]:п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ідручник для студентів вищих навч. закладів/ М.С. Бернарчук, О.В. Шумський. - Львів: Магнолія 2006, 2017. - 424 с.</w:t>
      </w:r>
    </w:p>
    <w:p w:rsidR="008D0E41" w:rsidRPr="009E7BD5" w:rsidRDefault="008D0E41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140335</wp:posOffset>
            </wp:positionV>
            <wp:extent cx="173101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394" y="21430"/>
                <wp:lineTo x="21394" y="0"/>
                <wp:lineTo x="0" y="0"/>
              </wp:wrapPolygon>
            </wp:wrapThrough>
            <wp:docPr id="72" name="Рисунок 72" descr="F:\Users\Админ\Desktop\Оксана. Книги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ers\Админ\Desktop\Оксана. Книги\07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574" w:rsidRPr="009E7BD5" w:rsidRDefault="0087657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підручнику висвітлюються товарознавчі аспекти</w:t>
      </w:r>
      <w:r w:rsidR="00210E89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основи виробництва, класифікація та характеристика асортименту і споживчих властивостей, </w:t>
      </w:r>
      <w:r w:rsidR="00C5770B" w:rsidRPr="009E7BD5">
        <w:rPr>
          <w:rFonts w:ascii="Times New Roman" w:hAnsi="Times New Roman" w:cs="Times New Roman"/>
          <w:sz w:val="28"/>
          <w:szCs w:val="28"/>
          <w:lang w:val="uk-UA"/>
        </w:rPr>
        <w:t>пакування, маркування, зберігання, транспортування та особливості національного і світового ринку) основних груп побутових меблів.</w:t>
      </w:r>
    </w:p>
    <w:p w:rsidR="00C5770B" w:rsidRPr="009E7BD5" w:rsidRDefault="00C5770B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Підручник розрахований на підготовку бакалаврів і магістрів освітнього напрямку «Торгівля» і пропонується науковцям, аспірантам, студентам і працівникам-практикам сфери внутрішньої і зовнішньої </w:t>
      </w:r>
      <w:r w:rsidR="008D0E41" w:rsidRPr="009E7BD5">
        <w:rPr>
          <w:rFonts w:ascii="Times New Roman" w:hAnsi="Times New Roman" w:cs="Times New Roman"/>
          <w:sz w:val="28"/>
          <w:szCs w:val="28"/>
          <w:lang w:val="uk-UA"/>
        </w:rPr>
        <w:t>торгівлі товарами</w:t>
      </w:r>
      <w:r w:rsidR="00F95DF0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5DF0" w:rsidRPr="009E7BD5" w:rsidRDefault="00F95DF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364" w:rsidRPr="009E7BD5" w:rsidRDefault="004A436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5DF0" w:rsidRPr="009E7BD5" w:rsidRDefault="00F95DF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Бобровський, А.Л. Екологічний менеджмент[Текст]: підручник/А.Л. Бобровський . – Суми: Універ. книга, 2017. – 586 с.</w:t>
      </w:r>
    </w:p>
    <w:p w:rsidR="00CE2E14" w:rsidRPr="009E7BD5" w:rsidRDefault="00CE2E14" w:rsidP="00FA28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AE6" w:rsidRPr="009E7BD5" w:rsidRDefault="004A4364" w:rsidP="00826AE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635</wp:posOffset>
            </wp:positionV>
            <wp:extent cx="1647825" cy="2365375"/>
            <wp:effectExtent l="19050" t="19050" r="9525" b="0"/>
            <wp:wrapThrough wrapText="bothSides">
              <wp:wrapPolygon edited="0">
                <wp:start x="-250" y="-174"/>
                <wp:lineTo x="-250" y="21571"/>
                <wp:lineTo x="21725" y="21571"/>
                <wp:lineTo x="21725" y="-174"/>
                <wp:lineTo x="-250" y="-174"/>
              </wp:wrapPolygon>
            </wp:wrapThrough>
            <wp:docPr id="31" name="Рисунок 31" descr="C:\Users\Admin\Desktop\10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0_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6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6AE6" w:rsidRPr="009E7BD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 підручнику викладено основи та принципи формування національної системи екологічного управління й екологічної політики, включаючи її сучасні інструменти в контексті міжнародної практики. Подано шляхи вирішення природоохоронних проблем відповідно до загальноєвропейських вимог, а також особливості реалізації принципу сталого розвитку в Україні. Проаналізовано методи та нові форми екологічного менеджменту. </w:t>
      </w:r>
    </w:p>
    <w:p w:rsidR="00CE2E14" w:rsidRPr="009E7BD5" w:rsidRDefault="00826AE6" w:rsidP="00826A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Для студентів, аспірантів та викладачів </w:t>
      </w:r>
      <w:r w:rsidR="00CA5B19" w:rsidRPr="009E7BD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ВНЗ</w:t>
      </w:r>
      <w:r w:rsidR="00FA28E7" w:rsidRPr="009E7BD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826AE6" w:rsidRPr="009E7BD5" w:rsidRDefault="00826AE6" w:rsidP="004B4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5312" w:rsidRPr="009E7BD5" w:rsidRDefault="008B1ADE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Гадецька, С.В. Фінансова математика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посібник / С.В. Гадецька, Г.О. Савченко.</w:t>
      </w:r>
      <w:r w:rsidR="00576DF2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Львів: Новий Світ-2000, 2017.</w:t>
      </w:r>
      <w:r w:rsidR="00576DF2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214 с.</w:t>
      </w:r>
    </w:p>
    <w:p w:rsidR="00BF3F60" w:rsidRPr="009E7BD5" w:rsidRDefault="00FA28E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154940</wp:posOffset>
            </wp:positionV>
            <wp:extent cx="1619250" cy="2202180"/>
            <wp:effectExtent l="0" t="0" r="0" b="0"/>
            <wp:wrapThrough wrapText="bothSides">
              <wp:wrapPolygon edited="0">
                <wp:start x="0" y="0"/>
                <wp:lineTo x="0" y="21488"/>
                <wp:lineTo x="21346" y="21488"/>
                <wp:lineTo x="21346" y="0"/>
                <wp:lineTo x="0" y="0"/>
              </wp:wrapPolygon>
            </wp:wrapThrough>
            <wp:docPr id="54" name="Рисунок 54" descr="F:\Users\Админ\Desktop\Оксана. Книг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Админ\Desktop\Оксана. Книги\10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8E7" w:rsidRPr="009E7BD5" w:rsidRDefault="00576DF2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Мета посібника – надати фахівцям економічної сфери необхідну допомогу з вивчення перевірених практикою методів кількісного аналізу фінансово-кредитних операцій. </w:t>
      </w:r>
    </w:p>
    <w:p w:rsidR="00576DF2" w:rsidRPr="009E7BD5" w:rsidRDefault="00576DF2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Посібник призначений для студентів економічних спеціальностей, осіб</w:t>
      </w:r>
      <w:r w:rsidR="00FA28E7" w:rsidRPr="009E7BD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 фінансових послуг, а також для тих, що застосовують фінансові розрахунки у професійній діяльності.</w:t>
      </w:r>
    </w:p>
    <w:p w:rsidR="007D1E04" w:rsidRPr="009E7BD5" w:rsidRDefault="007D1E0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28E7" w:rsidRPr="009E7BD5" w:rsidRDefault="00FA28E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28E7" w:rsidRPr="009E7BD5" w:rsidRDefault="00FA28E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28E7" w:rsidRPr="009E7BD5" w:rsidRDefault="00FA28E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E04" w:rsidRPr="009E7BD5" w:rsidRDefault="007D1E04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Галик, І.С. Товарознавство трикотажних виробів</w:t>
      </w:r>
      <w:r w:rsidR="00D06028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 для студентів товарознавчих спеціальностей вищих навчальних закладів/ Галик І.С., Б.Д. Семак. –[2-ге вид., перероб. та доп.]. – Львів: Магнолія 2006, 2016.– 221 с.</w:t>
      </w:r>
    </w:p>
    <w:p w:rsidR="00D06028" w:rsidRPr="009E7BD5" w:rsidRDefault="00D06028" w:rsidP="00A57D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6028" w:rsidRPr="009E7BD5" w:rsidRDefault="00BF3F6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58420</wp:posOffset>
            </wp:positionV>
            <wp:extent cx="1640205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324" y="21356"/>
                <wp:lineTo x="21324" y="0"/>
                <wp:lineTo x="0" y="0"/>
              </wp:wrapPolygon>
            </wp:wrapThrough>
            <wp:docPr id="30" name="Рисунок 30" descr="C:\Users\Admin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028" w:rsidRPr="009E7BD5">
        <w:rPr>
          <w:rFonts w:ascii="Times New Roman" w:hAnsi="Times New Roman" w:cs="Times New Roman"/>
          <w:sz w:val="28"/>
          <w:szCs w:val="28"/>
          <w:lang w:val="uk-UA"/>
        </w:rPr>
        <w:t>У підручнику наведено відомості про основи технології трикотажного виробництва, особливості будови, асортимент трикотажних полотен, формування споживних властивостей і асортименту трикотажних виробів у процесі їх проектування і виготовлення, класифікацію і характеристику</w:t>
      </w:r>
      <w:r w:rsidR="003260EE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асортименту верхніх, білизняних, панчішно-шкарпеткових, рукавичкових, хустково-шарфових та головних уборів, оцінку трикотажних виробів. </w:t>
      </w:r>
    </w:p>
    <w:p w:rsidR="003260EE" w:rsidRPr="009E7BD5" w:rsidRDefault="003260EE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студентів товарознавчих спеціальностей вищих навчальних закладів.</w:t>
      </w:r>
    </w:p>
    <w:p w:rsidR="00A57D06" w:rsidRPr="009E7BD5" w:rsidRDefault="00A57D06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6028" w:rsidRPr="009E7BD5" w:rsidRDefault="00A57D06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Григурко, І.О. Технологія обробки типових деталей( курсове проектування) [Текст]: навч. посібник/ І.О. Григурко, М.Ф. Брендуля, С.М. Доценко. – Львів: Новий Світ-2000, 2016. – 576 с.</w:t>
      </w:r>
    </w:p>
    <w:p w:rsidR="00645C07" w:rsidRPr="009E7BD5" w:rsidRDefault="00FA28E7" w:rsidP="00FA28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44450</wp:posOffset>
            </wp:positionV>
            <wp:extent cx="1562100" cy="1995170"/>
            <wp:effectExtent l="0" t="0" r="0" b="0"/>
            <wp:wrapThrough wrapText="bothSides">
              <wp:wrapPolygon edited="0">
                <wp:start x="0" y="0"/>
                <wp:lineTo x="0" y="21449"/>
                <wp:lineTo x="21337" y="21449"/>
                <wp:lineTo x="21337" y="0"/>
                <wp:lineTo x="0" y="0"/>
              </wp:wrapPolygon>
            </wp:wrapThrough>
            <wp:docPr id="7" name="Рисунок 7" descr="C:\Users\Admin\Desktop\03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3053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5C07" w:rsidRPr="009E7BD5" w:rsidRDefault="00645C07" w:rsidP="008D0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Викладено науково-методичні рекомендації щодо проектування курсових робіт та методики вирішення практичних типових задач приближених до виробництва з дисциплін «Технологія обробки типових деталей», «Проектування технологічних процесів», які допомагають студентам краще засвоїти теоретичний матеріалі використовувати його на практиці.</w:t>
      </w:r>
    </w:p>
    <w:p w:rsidR="002C4F95" w:rsidRPr="009E7BD5" w:rsidRDefault="002C4F95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Діловодство, яким воно має бути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практич. посібник /Упоряд. Д.М. Лівшиц. </w:t>
      </w:r>
      <w:r w:rsidR="008A40C0" w:rsidRPr="009E7BD5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К.: Центр учбової літератури, 2016.</w:t>
      </w:r>
      <w:r w:rsidR="008A40C0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536 с.</w:t>
      </w:r>
    </w:p>
    <w:p w:rsidR="002C4F95" w:rsidRPr="009E7BD5" w:rsidRDefault="002C4F95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4F95" w:rsidRPr="009E7BD5" w:rsidRDefault="00BF3F6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73660</wp:posOffset>
            </wp:positionV>
            <wp:extent cx="1600200" cy="2162810"/>
            <wp:effectExtent l="0" t="0" r="0" b="0"/>
            <wp:wrapThrough wrapText="bothSides">
              <wp:wrapPolygon edited="0">
                <wp:start x="0" y="0"/>
                <wp:lineTo x="0" y="21499"/>
                <wp:lineTo x="21343" y="21499"/>
                <wp:lineTo x="21343" y="0"/>
                <wp:lineTo x="0" y="0"/>
              </wp:wrapPolygon>
            </wp:wrapThrough>
            <wp:docPr id="11" name="Рисунок 1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F95" w:rsidRPr="009E7BD5" w:rsidRDefault="002C4F95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Діловодство вивчається з метою формування у майбутніх фахівців уміння та навичок роботи з документами, які супроводжують діяльність будь якої</w:t>
      </w:r>
      <w:r w:rsidR="001E286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організації, і державної, і приватної, а в органах місцевого управління мають свою специфіку, оскільки значна частина цих документів виходить за рамки самої організації і їх дія розповсюджується на всю територію, яка підпорядкована органу місцевої влади.</w:t>
      </w:r>
    </w:p>
    <w:p w:rsidR="002C4F95" w:rsidRPr="009E7BD5" w:rsidRDefault="002C4F95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364" w:rsidRPr="009E7BD5" w:rsidRDefault="004A4364" w:rsidP="008D0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4782" w:rsidRPr="009E7BD5" w:rsidRDefault="000F367E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Економіка та фінанси підприємства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підручник/ Й.М. Петрович, Л.М.Прокопишин-Рашкевич.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Львів</w:t>
      </w:r>
      <w:r w:rsidR="006B1FAB"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Магнолія 2006,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2017.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408 с.</w:t>
      </w:r>
    </w:p>
    <w:p w:rsidR="004A4782" w:rsidRPr="009E7BD5" w:rsidRDefault="00BF3F60" w:rsidP="004A4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125730</wp:posOffset>
            </wp:positionV>
            <wp:extent cx="1543050" cy="2197735"/>
            <wp:effectExtent l="0" t="0" r="0" b="0"/>
            <wp:wrapThrough wrapText="bothSides">
              <wp:wrapPolygon edited="0">
                <wp:start x="0" y="0"/>
                <wp:lineTo x="0" y="21344"/>
                <wp:lineTo x="21333" y="21344"/>
                <wp:lineTo x="21333" y="0"/>
                <wp:lineTo x="0" y="0"/>
              </wp:wrapPolygon>
            </wp:wrapThrough>
            <wp:docPr id="10" name="Рисунок 10" descr="C:\Users\Admin\Desktop\ekonom.-ta-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konom.-ta-fi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C16" w:rsidRPr="009E7BD5" w:rsidRDefault="004A4782" w:rsidP="004A4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складається з теоретичної та практичної частин, які органічно доповнюють одна одну. Особлива увага звертається на висвітлення концептуальних і проблемних питань діяльності підприємства, пов’язаних з ефективним використанням ресурсів в процесі його функціонування з метою     Призначений для студентів екон. спеціальностей, а також для студентів інших спеціальностей, які вивчають економічні дисципліни. </w:t>
      </w:r>
    </w:p>
    <w:p w:rsidR="004A4364" w:rsidRPr="009E7BD5" w:rsidRDefault="004A4364" w:rsidP="008D0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4364" w:rsidRPr="009E7BD5" w:rsidRDefault="004A4364" w:rsidP="004A4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4F9" w:rsidRPr="009E7BD5" w:rsidRDefault="008264F9" w:rsidP="008264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Європейська та  євроатлантична інтеграція: навч. посіб./ [О.В. Баула, Т.В. Божидарник] та ін. за заг. ред. О.М. Лютак. – Херсон: ОЛДІ-ПЛЮС, 2016. – 376 с.</w:t>
      </w:r>
    </w:p>
    <w:p w:rsidR="008264F9" w:rsidRPr="009E7BD5" w:rsidRDefault="008264F9" w:rsidP="00826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4F9" w:rsidRPr="009E7BD5" w:rsidRDefault="00BF3F60" w:rsidP="00826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3810</wp:posOffset>
            </wp:positionV>
            <wp:extent cx="1666875" cy="2251075"/>
            <wp:effectExtent l="0" t="0" r="0" b="0"/>
            <wp:wrapThrough wrapText="bothSides">
              <wp:wrapPolygon edited="0">
                <wp:start x="0" y="0"/>
                <wp:lineTo x="0" y="21387"/>
                <wp:lineTo x="21477" y="21387"/>
                <wp:lineTo x="21477" y="0"/>
                <wp:lineTo x="0" y="0"/>
              </wp:wrapPolygon>
            </wp:wrapThrough>
            <wp:docPr id="62" name="Рисунок 62" descr="C:\Users\Admin\Desktop\foto_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oto_9_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4F9" w:rsidRPr="009E7BD5">
        <w:rPr>
          <w:rFonts w:ascii="Times New Roman" w:hAnsi="Times New Roman" w:cs="Times New Roman"/>
          <w:sz w:val="28"/>
          <w:szCs w:val="28"/>
          <w:lang w:val="uk-UA"/>
        </w:rPr>
        <w:t>У посібнику розглядаються історичне та геополітичне підґрунтя європейського та євроатлантичної інтеграції, особливості співробітництва України з Європейським Союзом та Організацією Північноатлантичного Договору. Проаналізовано реалізацію різних напрямів діяльності органів законодавчої та виконавчої влади ЄС</w:t>
      </w:r>
      <w:r w:rsidR="00FA28E7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64F9" w:rsidRPr="009E7BD5" w:rsidRDefault="008264F9" w:rsidP="00FA2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Книга розрахована на науковців, керівників та спеціалістів управлінських структур, аспірантів, студентів </w:t>
      </w:r>
      <w:r w:rsidR="00954715" w:rsidRPr="009E7BD5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і стане в нагоді всім, хто цікавиться процесами європейської та євроатлантичної інтеграції</w:t>
      </w:r>
      <w:r w:rsidR="00954715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DAF" w:rsidRPr="009E7BD5" w:rsidRDefault="00781729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Литвиненко, С.Л. Транспортно-експедиторська діяльність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посібник.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2-ге вид., перероб. і доп./ С.Л. Литвиненко, Т.Ю. Габріелова, П.О. Яновський, Г.І. Нестеренко. – К.: Кондор-Видавництво, 2016. – 184 с.</w:t>
      </w:r>
    </w:p>
    <w:p w:rsidR="00781729" w:rsidRPr="009E7BD5" w:rsidRDefault="008D0E41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111125</wp:posOffset>
            </wp:positionV>
            <wp:extent cx="16446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266" y="21418"/>
                <wp:lineTo x="21266" y="0"/>
                <wp:lineTo x="0" y="0"/>
              </wp:wrapPolygon>
            </wp:wrapThrough>
            <wp:docPr id="17" name="Рисунок 17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729" w:rsidRPr="009E7BD5" w:rsidRDefault="00781729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У навчальному посібнику викладено основи організації та правового регулювання транспортно-експедиторської діяльності, висвітлено особливості правового регулювання перевезень та транспортно-експедиторської діяльності. Наведено договірні основи доставки вантажу, а також особливості доставки вантажів у міжнародній торгівлі. </w:t>
      </w:r>
    </w:p>
    <w:p w:rsidR="00E124F0" w:rsidRPr="009E7BD5" w:rsidRDefault="00781729" w:rsidP="00E160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студентів спеціальностей «Організація перевезень і управління на транспорті» транспортних ВНЗ України.</w:t>
      </w:r>
    </w:p>
    <w:p w:rsidR="00E124F0" w:rsidRPr="009E7BD5" w:rsidRDefault="00E124F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6F69" w:rsidRPr="009E7BD5" w:rsidRDefault="00A06F69" w:rsidP="00BF3F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3F60" w:rsidRPr="009E7BD5" w:rsidRDefault="00DD72E4" w:rsidP="008D0E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Мальська, М.П. Управління с</w:t>
      </w:r>
      <w:r w:rsidR="00AA1427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ферою готельного господарства: 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теорія та практика[Текст]</w:t>
      </w:r>
      <w:r w:rsidR="00AA1427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підручник</w:t>
      </w:r>
      <w:r w:rsidR="00AA1427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/ 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AA1427" w:rsidRPr="009E7B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AA1427" w:rsidRPr="009E7B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Мальська, В.Л. Кізима, І.З. Жук. – К.: Центр учбової літ-ри, 2017. – 336 с.</w:t>
      </w:r>
    </w:p>
    <w:p w:rsidR="00BF3F60" w:rsidRPr="009E7BD5" w:rsidRDefault="00FA28E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65405</wp:posOffset>
            </wp:positionV>
            <wp:extent cx="1572895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52" y="21353"/>
                <wp:lineTo x="21452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242" w:rsidRPr="009E7BD5" w:rsidRDefault="00E124F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Розкрито теоретико-метологічні та методико-прикладні засади розвитку готельного </w:t>
      </w:r>
      <w:r w:rsidR="00723EFC" w:rsidRPr="009E7BD5">
        <w:rPr>
          <w:rFonts w:ascii="Times New Roman" w:hAnsi="Times New Roman" w:cs="Times New Roman"/>
          <w:sz w:val="28"/>
          <w:szCs w:val="28"/>
          <w:lang w:val="uk-UA"/>
        </w:rPr>
        <w:t>господарства за сучасних умов ринкового господарювання, проаналізовано розвиток сфери готельного господарства, здійснено маркетингово-соціологічний аналіз ринку туристичних і готельних послуг, досліджено інвестиційну привабливість готельно</w:t>
      </w:r>
      <w:r w:rsidR="00C43B66" w:rsidRPr="009E7BD5">
        <w:rPr>
          <w:rFonts w:ascii="Times New Roman" w:hAnsi="Times New Roman" w:cs="Times New Roman"/>
          <w:sz w:val="28"/>
          <w:szCs w:val="28"/>
          <w:lang w:val="uk-UA"/>
        </w:rPr>
        <w:t>го господарства регіонів України.</w:t>
      </w:r>
    </w:p>
    <w:p w:rsidR="00BA3242" w:rsidRPr="009E7BD5" w:rsidRDefault="00C43B66" w:rsidP="00665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Для науковців, економістів, аспірантів, студентів </w:t>
      </w:r>
      <w:r w:rsidR="00954715" w:rsidRPr="009E7BD5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="00FA28E7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24F0" w:rsidRPr="009E7BD5" w:rsidRDefault="00E124F0" w:rsidP="00C43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0166" w:rsidRPr="009E7BD5" w:rsidRDefault="00480166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Ма</w:t>
      </w:r>
      <w:r w:rsidR="0031239C" w:rsidRPr="009E7BD5">
        <w:rPr>
          <w:rFonts w:ascii="Times New Roman" w:hAnsi="Times New Roman" w:cs="Times New Roman"/>
          <w:b/>
          <w:sz w:val="28"/>
          <w:szCs w:val="28"/>
          <w:lang w:val="uk-UA"/>
        </w:rPr>
        <w:t>нів, З.О. Регіональна економіка</w:t>
      </w:r>
      <w:r w:rsidR="00E41F0D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="0031239C" w:rsidRPr="009E7BD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навч. посібник/ З.О. Манів, І.М. Луцький, С.З. Манів. – Львів: Магнолія 2006, 2017. – 638 с.</w:t>
      </w:r>
    </w:p>
    <w:p w:rsidR="0031239C" w:rsidRPr="009E7BD5" w:rsidRDefault="0031239C" w:rsidP="009547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39C" w:rsidRPr="009E7BD5" w:rsidRDefault="0066526E" w:rsidP="00312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-81915</wp:posOffset>
            </wp:positionV>
            <wp:extent cx="1590675" cy="2269490"/>
            <wp:effectExtent l="0" t="0" r="0" b="0"/>
            <wp:wrapThrough wrapText="bothSides">
              <wp:wrapPolygon edited="0">
                <wp:start x="0" y="0"/>
                <wp:lineTo x="0" y="21395"/>
                <wp:lineTo x="21471" y="21395"/>
                <wp:lineTo x="21471" y="0"/>
                <wp:lineTo x="0" y="0"/>
              </wp:wrapPolygon>
            </wp:wrapThrough>
            <wp:docPr id="21" name="Рисунок 21" descr="C:\Users\Admin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39C" w:rsidRPr="009E7BD5">
        <w:rPr>
          <w:rFonts w:ascii="Times New Roman" w:hAnsi="Times New Roman" w:cs="Times New Roman"/>
          <w:sz w:val="28"/>
          <w:szCs w:val="28"/>
          <w:lang w:val="uk-UA"/>
        </w:rPr>
        <w:t>Навчальний посібник «Регіональна економіка» включає предмети: розміщення продуктивних сил, регіональна економіка і екологія.</w:t>
      </w:r>
    </w:p>
    <w:p w:rsidR="0031239C" w:rsidRPr="009E7BD5" w:rsidRDefault="0031239C" w:rsidP="00312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посібнику послідовно викладені теоретичні, методологічні та прикладні аспекти формування продуктивних сил України в умовах становлення і розвитку ринкової економіки.</w:t>
      </w:r>
    </w:p>
    <w:p w:rsidR="008D0E41" w:rsidRPr="009E7BD5" w:rsidRDefault="00954715" w:rsidP="00FA2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1239C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осібник призначений для студентів економічних спеціальностей </w:t>
      </w:r>
      <w:r w:rsidR="0066526E" w:rsidRPr="009E7BD5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="0031239C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1239C" w:rsidRPr="009E7BD5" w:rsidRDefault="00135602" w:rsidP="00C43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Мардар, М.Р. Товарознавство. Товари тваринного походження [Текст]: навч. посібник/ М.Р. Мардар, А.Я. Камінський, Ф.Є. Дубровін; за ред. М.Р.Мардар.– Льві</w:t>
      </w:r>
      <w:r w:rsidR="00C43B66" w:rsidRPr="009E7BD5">
        <w:rPr>
          <w:rFonts w:ascii="Times New Roman" w:hAnsi="Times New Roman" w:cs="Times New Roman"/>
          <w:b/>
          <w:sz w:val="28"/>
          <w:szCs w:val="28"/>
          <w:lang w:val="uk-UA"/>
        </w:rPr>
        <w:t>в: Магнолія 2006, 2017. – 295 с</w:t>
      </w:r>
    </w:p>
    <w:p w:rsidR="004A4364" w:rsidRPr="009E7BD5" w:rsidRDefault="00EB2E61" w:rsidP="00BF3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172720</wp:posOffset>
            </wp:positionV>
            <wp:extent cx="1619250" cy="2223135"/>
            <wp:effectExtent l="0" t="0" r="0" b="0"/>
            <wp:wrapThrough wrapText="bothSides">
              <wp:wrapPolygon edited="0">
                <wp:start x="0" y="0"/>
                <wp:lineTo x="0" y="21470"/>
                <wp:lineTo x="21346" y="21470"/>
                <wp:lineTo x="21346" y="0"/>
                <wp:lineTo x="0" y="0"/>
              </wp:wrapPolygon>
            </wp:wrapThrough>
            <wp:docPr id="28" name="Рисунок 28" descr="C:\Users\Admin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715" w:rsidRPr="009E7BD5" w:rsidRDefault="00135602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навчальному посібнику надана товарознавча класифікація та приведена характеристика основних груп</w:t>
      </w:r>
      <w:r w:rsidR="00EB2E61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товарів тваринного походження,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приведена характеристика якості різних груп товарів тваринного походження відповідно до діючих в Україні нормативних документів. </w:t>
      </w:r>
    </w:p>
    <w:p w:rsidR="0066526E" w:rsidRPr="009E7BD5" w:rsidRDefault="00954715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осібник призначений для підготовки студентів 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різної форми навчання освітньо-кваліфікаційного рівня 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>бакалавр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>спеціаліст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>магістр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за напрямом підготовки 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>Товарознавство і торговельне підприємництво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35602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526E" w:rsidRPr="009E7BD5" w:rsidRDefault="0066526E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2DAF" w:rsidRPr="009E7BD5" w:rsidRDefault="0011001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Москальова, В.М. Охорона праці (питання та відповіді)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довідник/ В.М. Москальова, В.А.Батлук, С.Л. Кусковець, В.Л. Филипчук.– Львів Магнолія 2006, 2017. – 452 с.</w:t>
      </w:r>
    </w:p>
    <w:p w:rsidR="00EF2DAF" w:rsidRPr="009E7BD5" w:rsidRDefault="00EF2DAF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26E" w:rsidRPr="009E7BD5" w:rsidRDefault="00F56D67" w:rsidP="006652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58420</wp:posOffset>
            </wp:positionV>
            <wp:extent cx="1619250" cy="2116455"/>
            <wp:effectExtent l="0" t="0" r="0" b="0"/>
            <wp:wrapThrough wrapText="bothSides">
              <wp:wrapPolygon edited="0">
                <wp:start x="0" y="0"/>
                <wp:lineTo x="0" y="21386"/>
                <wp:lineTo x="21346" y="21386"/>
                <wp:lineTo x="21346" y="0"/>
                <wp:lineTo x="0" y="0"/>
              </wp:wrapPolygon>
            </wp:wrapThrough>
            <wp:docPr id="19" name="Рисунок 19" descr="C:\Users\Admin\Desktop\image_863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_86334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729" w:rsidRPr="009E7BD5" w:rsidRDefault="00F56D67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довіднику викладено основні положення з безпеки праці, а також основи фізіології, гігієни праці, виробничої санітарії, пожежної безпеки та методичні підходи до організації управління безпекою праці на підприємствах у вигляді питань і відповідей. Довідник розраховано на студентів вищих навчальних закладів, керівників і службових осіб, які працюють у різних галузях підприємницької діяльності.</w:t>
      </w:r>
    </w:p>
    <w:p w:rsidR="00781729" w:rsidRPr="009E7BD5" w:rsidRDefault="00781729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6D67" w:rsidRPr="009E7BD5" w:rsidRDefault="00F56D67" w:rsidP="00EB2E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C0" w:rsidRPr="009E7BD5" w:rsidRDefault="008A40C0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Михасюк, І.Р. Державне регулювання економіки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підручник/ І.Р.Михасюк, Л.А.Швайка. – Львів: Магнолія 2006, 2017. – 220 с.</w:t>
      </w:r>
    </w:p>
    <w:p w:rsidR="002C4F95" w:rsidRPr="009E7BD5" w:rsidRDefault="00FA28E7" w:rsidP="00EF2D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157289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52" y="21404"/>
                <wp:lineTo x="21452" y="0"/>
                <wp:lineTo x="0" y="0"/>
              </wp:wrapPolygon>
            </wp:wrapThrough>
            <wp:docPr id="16" name="Рисунок 16" descr="C:\Users\Admin\Desktop\derzh_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erzh_re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DAF" w:rsidRPr="009E7BD5" w:rsidRDefault="00EF2DAF" w:rsidP="00EF2D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підручнику, з врахуванням останніх наукових розробок зарубіжних та вітчизняних вчених розглядаються сутність, цілі і завдання державного регулювання економіки, теоретичні основи формування та реалізації стратегії соціально-економічної політики держави.</w:t>
      </w:r>
    </w:p>
    <w:p w:rsidR="00EF2DAF" w:rsidRPr="009E7BD5" w:rsidRDefault="00BC7286" w:rsidP="00087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Розрахований на студентів ВНЗ,м</w:t>
      </w:r>
      <w:r w:rsidR="00EF2DAF" w:rsidRPr="009E7BD5">
        <w:rPr>
          <w:rFonts w:ascii="Times New Roman" w:hAnsi="Times New Roman" w:cs="Times New Roman"/>
          <w:sz w:val="28"/>
          <w:szCs w:val="28"/>
          <w:lang w:val="uk-UA"/>
        </w:rPr>
        <w:t>оже бути корисним викладачам, науковцям, економістам-практикам, бізнесменам.</w:t>
      </w:r>
    </w:p>
    <w:p w:rsidR="00BF3F60" w:rsidRPr="009E7BD5" w:rsidRDefault="00D17FF7" w:rsidP="008D0E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Основи ринкової економіки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підручник/ За заг. ред. В.В. Кулішова.–Львів: Магнолія 2006, 2017.</w:t>
      </w:r>
      <w:r w:rsidR="006B4F9A" w:rsidRPr="009E7BD5">
        <w:rPr>
          <w:rFonts w:ascii="Times New Roman" w:hAnsi="Times New Roman" w:cs="Times New Roman"/>
          <w:b/>
          <w:sz w:val="28"/>
          <w:szCs w:val="28"/>
          <w:lang w:val="uk-UA"/>
        </w:rPr>
        <w:t>– 472 с</w:t>
      </w:r>
      <w:r w:rsidR="00BC7286" w:rsidRPr="009E7B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F3F60" w:rsidRPr="009E7BD5" w:rsidRDefault="00BF3F60" w:rsidP="006B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3F60" w:rsidRPr="009E7BD5" w:rsidRDefault="00BF3F60" w:rsidP="006B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2086" w:rsidRPr="009E7BD5" w:rsidRDefault="00BF3F60" w:rsidP="006B4F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-81915</wp:posOffset>
            </wp:positionV>
            <wp:extent cx="1722120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265" y="21376"/>
                <wp:lineTo x="21265" y="0"/>
                <wp:lineTo x="0" y="0"/>
              </wp:wrapPolygon>
            </wp:wrapThrough>
            <wp:docPr id="6" name="Рисунок 6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086"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У підручнику послідовно викладено основні засади формування суспільної економічної думки, проблемних питань сучасної ринкової економіки, розвитку підприємництва та підприємств, національної економіки та її інтеграції в світову  економіку в умовах глобалізації. </w:t>
      </w:r>
    </w:p>
    <w:p w:rsidR="00110010" w:rsidRPr="009E7BD5" w:rsidRDefault="00B62086" w:rsidP="00BC7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Розрахований на викладачів, студентів та аспірантів факультетів, відділень економічного профілю.</w:t>
      </w:r>
    </w:p>
    <w:p w:rsidR="00BC7286" w:rsidRPr="009E7BD5" w:rsidRDefault="00BC7286" w:rsidP="00BC7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1448" w:rsidRPr="009E7BD5" w:rsidRDefault="00A21448" w:rsidP="009547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0E41" w:rsidRPr="009E7BD5" w:rsidRDefault="008D0E41" w:rsidP="009547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0010" w:rsidRPr="009E7BD5" w:rsidRDefault="00DE5B37" w:rsidP="00BC72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Палеха, Ю. Загальне діловодство: теорія та практика керування документацією із загальних питань</w:t>
      </w:r>
      <w:r w:rsidR="0048016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навч. посіб. – вид.4-те (випр. і доп.). –К.: Вид-во ліра-К. – 2017. – 624 с.</w:t>
      </w:r>
    </w:p>
    <w:p w:rsidR="00480166" w:rsidRPr="009E7BD5" w:rsidRDefault="008D0E41" w:rsidP="00BC7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127000</wp:posOffset>
            </wp:positionV>
            <wp:extent cx="1629410" cy="2322830"/>
            <wp:effectExtent l="0" t="0" r="0" b="0"/>
            <wp:wrapThrough wrapText="bothSides">
              <wp:wrapPolygon edited="0">
                <wp:start x="0" y="0"/>
                <wp:lineTo x="0" y="21435"/>
                <wp:lineTo x="21465" y="21435"/>
                <wp:lineTo x="21465" y="0"/>
                <wp:lineTo x="0" y="0"/>
              </wp:wrapPolygon>
            </wp:wrapThrough>
            <wp:docPr id="13" name="Рисунок 13" descr="C:\Users\Admin\Desktop\1397428762_zag-dok-pal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97428762_zag-dok-paleh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E61" w:rsidRPr="009E7BD5" w:rsidRDefault="00480166" w:rsidP="00954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У навчальному посібнику комплексно висвітлено питання документаційного забезпечення сучасного управління з урахуванням нових інструкцій та стандартів, новітніх тенденцій розвитку діловодства, яке подано як результат розвитку і самовдосконалення цілісної комунікативної системи, як вияв потреби об’єкта управління у вищому рівні впорядкування, як культура операційної управлінської технології.</w:t>
      </w:r>
    </w:p>
    <w:p w:rsidR="004A4364" w:rsidRPr="009E7BD5" w:rsidRDefault="00480166" w:rsidP="00EB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 Розрахований на фахівців, керівників організацій, працівників діловодних служб, викладачів і слухачів системи підвищення кваліфікації кадрів.</w:t>
      </w:r>
    </w:p>
    <w:p w:rsidR="00794806" w:rsidRPr="009E7BD5" w:rsidRDefault="00794806" w:rsidP="000876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66FF" w:rsidRPr="009E7BD5" w:rsidRDefault="008466FF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Палеха, Ю.І. Інформаційний бізнес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підручник/ Ю.І. Палеха, Ю.І. Горбань. – К.: Вид-во Ліра-К, 2016. – 492 с.</w:t>
      </w:r>
    </w:p>
    <w:p w:rsidR="008466FF" w:rsidRPr="009E7BD5" w:rsidRDefault="00EB2E61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134620</wp:posOffset>
            </wp:positionV>
            <wp:extent cx="1583055" cy="2246630"/>
            <wp:effectExtent l="0" t="0" r="0" b="0"/>
            <wp:wrapThrough wrapText="bothSides">
              <wp:wrapPolygon edited="0">
                <wp:start x="0" y="0"/>
                <wp:lineTo x="0" y="21429"/>
                <wp:lineTo x="21314" y="21429"/>
                <wp:lineTo x="21314" y="0"/>
                <wp:lineTo x="0" y="0"/>
              </wp:wrapPolygon>
            </wp:wrapThrough>
            <wp:docPr id="15" name="Рисунок 15" descr="C:\Users\Admin\Desktop\img033_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033_1_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41" w:rsidRPr="009E7BD5" w:rsidRDefault="008466FF" w:rsidP="00846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 xml:space="preserve">Мета підручника – розкрити суть основних категорій інформ. бізнесу, розглянути його модель, побудову та функції. </w:t>
      </w:r>
    </w:p>
    <w:p w:rsidR="008466FF" w:rsidRPr="009E7BD5" w:rsidRDefault="008466FF" w:rsidP="00846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слухачів ун</w:t>
      </w:r>
      <w:r w:rsidR="00954715" w:rsidRPr="009E7BD5">
        <w:rPr>
          <w:rFonts w:ascii="Times New Roman" w:hAnsi="Times New Roman" w:cs="Times New Roman"/>
          <w:sz w:val="28"/>
          <w:szCs w:val="28"/>
          <w:lang w:val="uk-UA"/>
        </w:rPr>
        <w:t>-т</w:t>
      </w:r>
      <w:r w:rsidRPr="009E7BD5">
        <w:rPr>
          <w:rFonts w:ascii="Times New Roman" w:hAnsi="Times New Roman" w:cs="Times New Roman"/>
          <w:sz w:val="28"/>
          <w:szCs w:val="28"/>
          <w:lang w:val="uk-UA"/>
        </w:rPr>
        <w:t>ів. курсів, студентів вищих навчальних закладів, книгознавців та документознавців, інформ. аналітиків, працівників дорадчих служб</w:t>
      </w:r>
      <w:r w:rsidR="000876FE" w:rsidRPr="009E7B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0E41" w:rsidRPr="009E7BD5" w:rsidRDefault="008D0E41" w:rsidP="000876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361CA" w:rsidRPr="009E7BD5" w:rsidRDefault="00BA0D61" w:rsidP="000876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Пирог, Т.П. Харчова біотехнологія</w:t>
      </w:r>
      <w:r w:rsidR="00694C16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підручник/ Т.П. Пирог, М.М. Антонюк,О.І. Скроцька, Н.Ф. Кігель. – К: Вид-во Ліра-К, 2017. – 408 с.</w:t>
      </w:r>
    </w:p>
    <w:p w:rsidR="00BA0D61" w:rsidRPr="009E7BD5" w:rsidRDefault="00EB2E61" w:rsidP="00436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93545" cy="2303780"/>
            <wp:effectExtent l="0" t="0" r="0" b="0"/>
            <wp:wrapThrough wrapText="bothSides">
              <wp:wrapPolygon edited="0">
                <wp:start x="0" y="0"/>
                <wp:lineTo x="0" y="21433"/>
                <wp:lineTo x="21381" y="21433"/>
                <wp:lineTo x="2138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77" cy="23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D61" w:rsidRPr="009E7BD5">
        <w:rPr>
          <w:rFonts w:ascii="Times New Roman" w:hAnsi="Times New Roman" w:cs="Times New Roman"/>
          <w:sz w:val="28"/>
          <w:szCs w:val="28"/>
          <w:lang w:val="uk-UA"/>
        </w:rPr>
        <w:t>У підручнику систематизовано та викладено всі аспекти  харчової біотехнології: використання мікроорганізмів і продуктів їхнього метаболізму у харчових технологіях; традиційні та нові продукти мікробного синтезу як харчові добавки та сучасні біотехнології їх одержання; переваги та недоліки, а також законодавча  база використання генно-модифікованих організмів у харчових виробництвах.</w:t>
      </w:r>
    </w:p>
    <w:p w:rsidR="00BA0D61" w:rsidRPr="009E7BD5" w:rsidRDefault="00BA0D61" w:rsidP="00BA0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Призначено для студентів вищих навчальних закладів, а  також для спеціалістів, які працюють у галузі біотехнології та  харчових технологій.</w:t>
      </w:r>
    </w:p>
    <w:p w:rsidR="001F566F" w:rsidRPr="009E7BD5" w:rsidRDefault="001F566F" w:rsidP="0095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0E41" w:rsidRPr="009E7BD5" w:rsidRDefault="001F566F" w:rsidP="000876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Полікарпов, І.С. Товарознавство. Непродовольчі товари</w:t>
      </w:r>
      <w:r w:rsidR="004361CA" w:rsidRPr="009E7BD5">
        <w:rPr>
          <w:rFonts w:ascii="Times New Roman" w:hAnsi="Times New Roman" w:cs="Times New Roman"/>
          <w:b/>
          <w:sz w:val="28"/>
          <w:szCs w:val="28"/>
          <w:lang w:val="uk-UA"/>
        </w:rPr>
        <w:t>[Текст]</w:t>
      </w: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: електропобутові машини: посібник/ І.С. Полікарпов. – Львів, Магнолія-2006, 2017. – 403 с.</w:t>
      </w:r>
    </w:p>
    <w:p w:rsidR="008D0E41" w:rsidRPr="009E7BD5" w:rsidRDefault="008D0E41" w:rsidP="00BA0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566F" w:rsidRPr="009E7BD5" w:rsidRDefault="008D0E41" w:rsidP="00BA0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-99060</wp:posOffset>
            </wp:positionV>
            <wp:extent cx="1657350" cy="2282825"/>
            <wp:effectExtent l="0" t="0" r="0" b="0"/>
            <wp:wrapThrough wrapText="bothSides">
              <wp:wrapPolygon edited="0">
                <wp:start x="0" y="0"/>
                <wp:lineTo x="0" y="21450"/>
                <wp:lineTo x="21352" y="21450"/>
                <wp:lineTo x="21352" y="0"/>
                <wp:lineTo x="0" y="0"/>
              </wp:wrapPolygon>
            </wp:wrapThrough>
            <wp:docPr id="76" name="Рисунок 76" descr="F:\Users\Админ\Desktop\Оксана. Книги\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Админ\Desktop\Оксана. Книги\08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66F" w:rsidRPr="009E7BD5">
        <w:rPr>
          <w:rFonts w:ascii="Times New Roman" w:hAnsi="Times New Roman" w:cs="Times New Roman"/>
          <w:sz w:val="28"/>
          <w:szCs w:val="28"/>
          <w:lang w:val="uk-UA"/>
        </w:rPr>
        <w:t>У посібнику наведено відомості про ринок електропобутових машин, фактори, які формують їхній асортимент і якість, їх електрообладнання, споживні властивості і асортимент.</w:t>
      </w:r>
    </w:p>
    <w:p w:rsidR="004361CA" w:rsidRPr="009E7BD5" w:rsidRDefault="001F566F" w:rsidP="00794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Посібник призначений для студентів спеціальностей «Товарознавство і експертиза в митній справі», «Експертиза товарів та послуг»,  «Товарознавство та комерційна діяльність»</w:t>
      </w:r>
      <w:r w:rsidR="004361CA" w:rsidRPr="009E7BD5">
        <w:rPr>
          <w:rFonts w:ascii="Times New Roman" w:hAnsi="Times New Roman" w:cs="Times New Roman"/>
          <w:sz w:val="28"/>
          <w:szCs w:val="28"/>
          <w:lang w:val="uk-UA"/>
        </w:rPr>
        <w:t>, інших товарознавчих та економічних спеціальностей, пов’язаних зі сферою торгівлі.</w:t>
      </w:r>
    </w:p>
    <w:p w:rsidR="000876FE" w:rsidRPr="009E7BD5" w:rsidRDefault="000876FE" w:rsidP="00794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61CA" w:rsidRPr="009E7BD5" w:rsidRDefault="004361CA" w:rsidP="00BA0D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b/>
          <w:sz w:val="28"/>
          <w:szCs w:val="28"/>
          <w:lang w:val="uk-UA"/>
        </w:rPr>
        <w:t>Полікарпов, І.С. Товарознавство. Непродовольчі товари: одягово-взуттєві вироби [Текст]: навчально-наочний посібник. – Львів: Видавництво «Магнолія 2006», 2017. – 264 с.</w:t>
      </w:r>
    </w:p>
    <w:p w:rsidR="008466FF" w:rsidRPr="009E7BD5" w:rsidRDefault="008466FF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2862" w:rsidRPr="009E7BD5" w:rsidRDefault="00A06F69" w:rsidP="00C45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-139065</wp:posOffset>
            </wp:positionV>
            <wp:extent cx="1695450" cy="2195195"/>
            <wp:effectExtent l="0" t="0" r="0" b="0"/>
            <wp:wrapThrough wrapText="bothSides">
              <wp:wrapPolygon edited="0">
                <wp:start x="0" y="0"/>
                <wp:lineTo x="0" y="21369"/>
                <wp:lineTo x="21357" y="21369"/>
                <wp:lineTo x="21357" y="0"/>
                <wp:lineTo x="0" y="0"/>
              </wp:wrapPolygon>
            </wp:wrapThrough>
            <wp:docPr id="27" name="Рисунок 27" descr="C:\Users\Admin\Desktop\image_76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_76909_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1CA" w:rsidRPr="009E7BD5">
        <w:rPr>
          <w:rFonts w:ascii="Times New Roman" w:hAnsi="Times New Roman" w:cs="Times New Roman"/>
          <w:sz w:val="28"/>
          <w:szCs w:val="28"/>
          <w:lang w:val="uk-UA"/>
        </w:rPr>
        <w:t>У навчально-наочному пос</w:t>
      </w:r>
      <w:r w:rsidR="00497D95" w:rsidRPr="009E7B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361CA" w:rsidRPr="009E7BD5">
        <w:rPr>
          <w:rFonts w:ascii="Times New Roman" w:hAnsi="Times New Roman" w:cs="Times New Roman"/>
          <w:sz w:val="28"/>
          <w:szCs w:val="28"/>
          <w:lang w:val="uk-UA"/>
        </w:rPr>
        <w:t>бнику розглянуто чинники формування асортименту і споживчих властивостей одягово-взуттєвих товарів. Велику увагу приділено вивченню сучасного асортименту та оцінці якості цих товарів. Навчально-наочний посібник містить ілюстративно-наочні матеріали, що сприяють вивченню і викладанню дисципліни. Засвоєнню їх змісту.</w:t>
      </w:r>
    </w:p>
    <w:p w:rsidR="00954715" w:rsidRPr="009E7BD5" w:rsidRDefault="004361CA" w:rsidP="00087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BD5">
        <w:rPr>
          <w:rFonts w:ascii="Times New Roman" w:hAnsi="Times New Roman" w:cs="Times New Roman"/>
          <w:sz w:val="28"/>
          <w:szCs w:val="28"/>
          <w:lang w:val="uk-UA"/>
        </w:rPr>
        <w:t>Для студентів товарознавчих спеціальностей вищих навчальних закладів.</w:t>
      </w:r>
    </w:p>
    <w:sectPr w:rsidR="00954715" w:rsidRPr="009E7BD5" w:rsidSect="004A4364">
      <w:footerReference w:type="default" r:id="rId7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064" w:rsidRDefault="00876064" w:rsidP="004A4364">
      <w:pPr>
        <w:spacing w:after="0" w:line="240" w:lineRule="auto"/>
      </w:pPr>
      <w:r>
        <w:separator/>
      </w:r>
    </w:p>
  </w:endnote>
  <w:endnote w:type="continuationSeparator" w:id="1">
    <w:p w:rsidR="00876064" w:rsidRDefault="00876064" w:rsidP="004A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9188"/>
      <w:docPartObj>
        <w:docPartGallery w:val="Page Numbers (Bottom of Page)"/>
        <w:docPartUnique/>
      </w:docPartObj>
    </w:sdtPr>
    <w:sdtContent>
      <w:p w:rsidR="00FA28E7" w:rsidRDefault="00EB3DF0">
        <w:pPr>
          <w:pStyle w:val="a9"/>
          <w:jc w:val="center"/>
        </w:pPr>
        <w:r>
          <w:fldChar w:fldCharType="begin"/>
        </w:r>
        <w:r w:rsidR="00FA28E7">
          <w:instrText xml:space="preserve"> PAGE   \* MERGEFORMAT </w:instrText>
        </w:r>
        <w:r>
          <w:fldChar w:fldCharType="separate"/>
        </w:r>
        <w:r w:rsidR="007F795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A28E7" w:rsidRDefault="00FA28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064" w:rsidRDefault="00876064" w:rsidP="004A4364">
      <w:pPr>
        <w:spacing w:after="0" w:line="240" w:lineRule="auto"/>
      </w:pPr>
      <w:r>
        <w:separator/>
      </w:r>
    </w:p>
  </w:footnote>
  <w:footnote w:type="continuationSeparator" w:id="1">
    <w:p w:rsidR="00876064" w:rsidRDefault="00876064" w:rsidP="004A43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2CBD"/>
    <w:rsid w:val="00004F40"/>
    <w:rsid w:val="00010CC6"/>
    <w:rsid w:val="00025203"/>
    <w:rsid w:val="00074CCC"/>
    <w:rsid w:val="000876FE"/>
    <w:rsid w:val="000A2B5B"/>
    <w:rsid w:val="000E3674"/>
    <w:rsid w:val="000E5E7E"/>
    <w:rsid w:val="000F1BAC"/>
    <w:rsid w:val="000F367E"/>
    <w:rsid w:val="000F6B64"/>
    <w:rsid w:val="00102DC0"/>
    <w:rsid w:val="0010706E"/>
    <w:rsid w:val="00110010"/>
    <w:rsid w:val="00135602"/>
    <w:rsid w:val="00142586"/>
    <w:rsid w:val="00144399"/>
    <w:rsid w:val="001478F1"/>
    <w:rsid w:val="00171A98"/>
    <w:rsid w:val="001728A3"/>
    <w:rsid w:val="001B444D"/>
    <w:rsid w:val="001B4A5F"/>
    <w:rsid w:val="001C0D2A"/>
    <w:rsid w:val="001C0F76"/>
    <w:rsid w:val="001D1E12"/>
    <w:rsid w:val="001E167D"/>
    <w:rsid w:val="001E2862"/>
    <w:rsid w:val="001F19C7"/>
    <w:rsid w:val="001F566F"/>
    <w:rsid w:val="002051E1"/>
    <w:rsid w:val="00210E89"/>
    <w:rsid w:val="00243BD3"/>
    <w:rsid w:val="002915D7"/>
    <w:rsid w:val="002A1071"/>
    <w:rsid w:val="002A48ED"/>
    <w:rsid w:val="002C4F95"/>
    <w:rsid w:val="002D18EE"/>
    <w:rsid w:val="003000AD"/>
    <w:rsid w:val="0030667D"/>
    <w:rsid w:val="0031239C"/>
    <w:rsid w:val="003260EE"/>
    <w:rsid w:val="00375B63"/>
    <w:rsid w:val="003816E1"/>
    <w:rsid w:val="0038222E"/>
    <w:rsid w:val="00392C6F"/>
    <w:rsid w:val="003B78D9"/>
    <w:rsid w:val="003B7F31"/>
    <w:rsid w:val="003D5495"/>
    <w:rsid w:val="003D62DA"/>
    <w:rsid w:val="003D67E6"/>
    <w:rsid w:val="003E0597"/>
    <w:rsid w:val="003F2B7D"/>
    <w:rsid w:val="00434778"/>
    <w:rsid w:val="004361CA"/>
    <w:rsid w:val="00450F2F"/>
    <w:rsid w:val="00480166"/>
    <w:rsid w:val="004837C1"/>
    <w:rsid w:val="0048617D"/>
    <w:rsid w:val="00497D95"/>
    <w:rsid w:val="004A4364"/>
    <w:rsid w:val="004A4782"/>
    <w:rsid w:val="004B46A2"/>
    <w:rsid w:val="004C30BD"/>
    <w:rsid w:val="004F030F"/>
    <w:rsid w:val="004F64B3"/>
    <w:rsid w:val="00562491"/>
    <w:rsid w:val="005624FA"/>
    <w:rsid w:val="00576DF2"/>
    <w:rsid w:val="0058682B"/>
    <w:rsid w:val="00592B9A"/>
    <w:rsid w:val="00597996"/>
    <w:rsid w:val="005C0A41"/>
    <w:rsid w:val="005C5B3C"/>
    <w:rsid w:val="005E1F13"/>
    <w:rsid w:val="005F4838"/>
    <w:rsid w:val="00607139"/>
    <w:rsid w:val="00611242"/>
    <w:rsid w:val="00630B43"/>
    <w:rsid w:val="00635C8B"/>
    <w:rsid w:val="0063628F"/>
    <w:rsid w:val="006447DA"/>
    <w:rsid w:val="00645C07"/>
    <w:rsid w:val="00653858"/>
    <w:rsid w:val="0066526E"/>
    <w:rsid w:val="00667A09"/>
    <w:rsid w:val="006838BA"/>
    <w:rsid w:val="00694C16"/>
    <w:rsid w:val="006B169E"/>
    <w:rsid w:val="006B1FAB"/>
    <w:rsid w:val="006B4F9A"/>
    <w:rsid w:val="006C4B42"/>
    <w:rsid w:val="006E32A2"/>
    <w:rsid w:val="00723CB5"/>
    <w:rsid w:val="00723EFC"/>
    <w:rsid w:val="00762C83"/>
    <w:rsid w:val="007763CB"/>
    <w:rsid w:val="00781729"/>
    <w:rsid w:val="00794806"/>
    <w:rsid w:val="007A2DFD"/>
    <w:rsid w:val="007A5FDC"/>
    <w:rsid w:val="007B4797"/>
    <w:rsid w:val="007D1E04"/>
    <w:rsid w:val="007E6ADC"/>
    <w:rsid w:val="007F0C27"/>
    <w:rsid w:val="007F7957"/>
    <w:rsid w:val="00815CEA"/>
    <w:rsid w:val="008264F9"/>
    <w:rsid w:val="00826AE6"/>
    <w:rsid w:val="00845D21"/>
    <w:rsid w:val="008466FF"/>
    <w:rsid w:val="00876064"/>
    <w:rsid w:val="00876574"/>
    <w:rsid w:val="008A3175"/>
    <w:rsid w:val="008A40C0"/>
    <w:rsid w:val="008B1ADE"/>
    <w:rsid w:val="008B4E58"/>
    <w:rsid w:val="008B53FD"/>
    <w:rsid w:val="008D0E41"/>
    <w:rsid w:val="008D369F"/>
    <w:rsid w:val="008E3068"/>
    <w:rsid w:val="008E5D7F"/>
    <w:rsid w:val="00944779"/>
    <w:rsid w:val="00954715"/>
    <w:rsid w:val="00956357"/>
    <w:rsid w:val="00971823"/>
    <w:rsid w:val="00982597"/>
    <w:rsid w:val="009A4CB7"/>
    <w:rsid w:val="009C134B"/>
    <w:rsid w:val="009D1547"/>
    <w:rsid w:val="009D5BA7"/>
    <w:rsid w:val="009D73F0"/>
    <w:rsid w:val="009E7BD5"/>
    <w:rsid w:val="00A06F69"/>
    <w:rsid w:val="00A21448"/>
    <w:rsid w:val="00A36205"/>
    <w:rsid w:val="00A47E3D"/>
    <w:rsid w:val="00A57D06"/>
    <w:rsid w:val="00A867F1"/>
    <w:rsid w:val="00A96202"/>
    <w:rsid w:val="00AA1427"/>
    <w:rsid w:val="00AA1DD6"/>
    <w:rsid w:val="00AD6F6E"/>
    <w:rsid w:val="00AF41CD"/>
    <w:rsid w:val="00B077BA"/>
    <w:rsid w:val="00B14F6B"/>
    <w:rsid w:val="00B2366D"/>
    <w:rsid w:val="00B57E4A"/>
    <w:rsid w:val="00B61137"/>
    <w:rsid w:val="00B62086"/>
    <w:rsid w:val="00B72CBD"/>
    <w:rsid w:val="00BA0D61"/>
    <w:rsid w:val="00BA3242"/>
    <w:rsid w:val="00BB0563"/>
    <w:rsid w:val="00BB4864"/>
    <w:rsid w:val="00BB6919"/>
    <w:rsid w:val="00BC7286"/>
    <w:rsid w:val="00BF3F60"/>
    <w:rsid w:val="00BF5C9E"/>
    <w:rsid w:val="00C24467"/>
    <w:rsid w:val="00C368A7"/>
    <w:rsid w:val="00C43B66"/>
    <w:rsid w:val="00C45312"/>
    <w:rsid w:val="00C479B6"/>
    <w:rsid w:val="00C5770B"/>
    <w:rsid w:val="00C82E5C"/>
    <w:rsid w:val="00CA0BC1"/>
    <w:rsid w:val="00CA5B19"/>
    <w:rsid w:val="00CB5EC7"/>
    <w:rsid w:val="00CE2E14"/>
    <w:rsid w:val="00CF78BF"/>
    <w:rsid w:val="00D06028"/>
    <w:rsid w:val="00D17FF7"/>
    <w:rsid w:val="00D33178"/>
    <w:rsid w:val="00D47D6F"/>
    <w:rsid w:val="00D532B7"/>
    <w:rsid w:val="00D7509C"/>
    <w:rsid w:val="00D80D50"/>
    <w:rsid w:val="00D867DC"/>
    <w:rsid w:val="00DA0F45"/>
    <w:rsid w:val="00DB57E7"/>
    <w:rsid w:val="00DD72E4"/>
    <w:rsid w:val="00DE5B37"/>
    <w:rsid w:val="00DF14DA"/>
    <w:rsid w:val="00E057A2"/>
    <w:rsid w:val="00E124F0"/>
    <w:rsid w:val="00E16014"/>
    <w:rsid w:val="00E41F0D"/>
    <w:rsid w:val="00E469AA"/>
    <w:rsid w:val="00E46A44"/>
    <w:rsid w:val="00E46F25"/>
    <w:rsid w:val="00E66A6F"/>
    <w:rsid w:val="00EA1B98"/>
    <w:rsid w:val="00EB2E61"/>
    <w:rsid w:val="00EB3DF0"/>
    <w:rsid w:val="00EC54A2"/>
    <w:rsid w:val="00ED38B4"/>
    <w:rsid w:val="00EF2DAF"/>
    <w:rsid w:val="00F00396"/>
    <w:rsid w:val="00F041CC"/>
    <w:rsid w:val="00F05514"/>
    <w:rsid w:val="00F14C1E"/>
    <w:rsid w:val="00F22EC1"/>
    <w:rsid w:val="00F23531"/>
    <w:rsid w:val="00F24BDE"/>
    <w:rsid w:val="00F44567"/>
    <w:rsid w:val="00F56D67"/>
    <w:rsid w:val="00F869DE"/>
    <w:rsid w:val="00F95DF0"/>
    <w:rsid w:val="00FA28E7"/>
    <w:rsid w:val="00FC7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4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Hyperlink"/>
    <w:basedOn w:val="a0"/>
    <w:uiPriority w:val="99"/>
    <w:semiHidden/>
    <w:unhideWhenUsed/>
    <w:rsid w:val="003D54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7E4A"/>
  </w:style>
  <w:style w:type="paragraph" w:styleId="a7">
    <w:name w:val="header"/>
    <w:basedOn w:val="a"/>
    <w:link w:val="a8"/>
    <w:uiPriority w:val="99"/>
    <w:semiHidden/>
    <w:unhideWhenUsed/>
    <w:rsid w:val="004A43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4364"/>
  </w:style>
  <w:style w:type="paragraph" w:styleId="a9">
    <w:name w:val="footer"/>
    <w:basedOn w:val="a"/>
    <w:link w:val="aa"/>
    <w:uiPriority w:val="99"/>
    <w:unhideWhenUsed/>
    <w:rsid w:val="004A43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6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51" Type="http://schemas.openxmlformats.org/officeDocument/2006/relationships/image" Target="media/image14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55" Type="http://schemas.openxmlformats.org/officeDocument/2006/relationships/image" Target="media/image17.jpeg"/><Relationship Id="rId63" Type="http://schemas.openxmlformats.org/officeDocument/2006/relationships/image" Target="media/image23.png"/><Relationship Id="rId68" Type="http://schemas.microsoft.com/office/2007/relationships/hdphoto" Target="media/hdphoto9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46" Type="http://schemas.openxmlformats.org/officeDocument/2006/relationships/image" Target="media/image9.jpeg"/><Relationship Id="rId59" Type="http://schemas.openxmlformats.org/officeDocument/2006/relationships/image" Target="media/image21.png"/><Relationship Id="rId67" Type="http://schemas.openxmlformats.org/officeDocument/2006/relationships/image" Target="media/image26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54" Type="http://schemas.microsoft.com/office/2007/relationships/hdphoto" Target="media/hdphoto5.wdp"/><Relationship Id="rId62" Type="http://schemas.microsoft.com/office/2007/relationships/hdphoto" Target="media/hdphoto7.wdp"/><Relationship Id="rId70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45" Type="http://schemas.microsoft.com/office/2007/relationships/hdphoto" Target="media/hdphoto4.wdp"/><Relationship Id="rId53" Type="http://schemas.openxmlformats.org/officeDocument/2006/relationships/image" Target="media/image16.png"/><Relationship Id="rId58" Type="http://schemas.openxmlformats.org/officeDocument/2006/relationships/image" Target="media/image20.jpeg"/><Relationship Id="rId66" Type="http://schemas.openxmlformats.org/officeDocument/2006/relationships/image" Target="media/image25.jpeg"/><Relationship Id="rId74" Type="http://schemas.microsoft.com/office/2007/relationships/stylesWithEffects" Target="stylesWithEffects.xml"/><Relationship Id="rId5" Type="http://schemas.openxmlformats.org/officeDocument/2006/relationships/endnotes" Target="endnotes.xml"/><Relationship Id="rId49" Type="http://schemas.openxmlformats.org/officeDocument/2006/relationships/image" Target="media/image12.jpeg"/><Relationship Id="rId57" Type="http://schemas.openxmlformats.org/officeDocument/2006/relationships/image" Target="media/image19.png"/><Relationship Id="rId61" Type="http://schemas.openxmlformats.org/officeDocument/2006/relationships/image" Target="media/image22.png"/><Relationship Id="rId10" Type="http://schemas.openxmlformats.org/officeDocument/2006/relationships/image" Target="media/image5.jpeg"/><Relationship Id="rId52" Type="http://schemas.openxmlformats.org/officeDocument/2006/relationships/image" Target="media/image15.jpeg"/><Relationship Id="rId60" Type="http://schemas.microsoft.com/office/2007/relationships/hdphoto" Target="media/hdphoto6.wdp"/><Relationship Id="rId65" Type="http://schemas.openxmlformats.org/officeDocument/2006/relationships/image" Target="media/image24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48" Type="http://schemas.openxmlformats.org/officeDocument/2006/relationships/image" Target="media/image11.jpeg"/><Relationship Id="rId56" Type="http://schemas.openxmlformats.org/officeDocument/2006/relationships/image" Target="media/image18.png"/><Relationship Id="rId64" Type="http://schemas.microsoft.com/office/2007/relationships/hdphoto" Target="media/hdphoto8.wdp"/><Relationship Id="rId6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10</Pages>
  <Words>2528</Words>
  <Characters>14412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Libliary</cp:lastModifiedBy>
  <cp:revision>133</cp:revision>
  <dcterms:created xsi:type="dcterms:W3CDTF">2018-10-29T13:57:00Z</dcterms:created>
  <dcterms:modified xsi:type="dcterms:W3CDTF">2018-11-14T15:33:00Z</dcterms:modified>
</cp:coreProperties>
</file>